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67DB" w14:textId="2170A677" w:rsidR="00D842C2" w:rsidRPr="00832ABC" w:rsidRDefault="00E7269F" w:rsidP="001033CB">
      <w:pPr>
        <w:spacing w:line="440" w:lineRule="exact"/>
        <w:jc w:val="both"/>
        <w:rPr>
          <w:rFonts w:ascii="Times New Roman" w:eastAsia="標楷體" w:hAnsi="Times New Roman" w:cs="Times New Roman"/>
          <w:color w:val="000000" w:themeColor="text1"/>
          <w:sz w:val="40"/>
          <w:szCs w:val="36"/>
        </w:rPr>
      </w:pPr>
      <w:r w:rsidRPr="00940B2D">
        <w:rPr>
          <w:rFonts w:ascii="Times New Roman" w:eastAsia="標楷體" w:hAnsi="Times New Roman" w:cs="Times New Roman"/>
          <w:noProof/>
          <w:color w:val="000000" w:themeColor="text1"/>
          <w:sz w:val="48"/>
          <w:szCs w:val="44"/>
        </w:rPr>
        <mc:AlternateContent>
          <mc:Choice Requires="wps">
            <w:drawing>
              <wp:anchor distT="45720" distB="45720" distL="114300" distR="114300" simplePos="0" relativeHeight="251659264" behindDoc="0" locked="0" layoutInCell="1" allowOverlap="1" wp14:anchorId="2DF21453" wp14:editId="254DA4A7">
                <wp:simplePos x="0" y="0"/>
                <wp:positionH relativeFrom="column">
                  <wp:posOffset>-5864</wp:posOffset>
                </wp:positionH>
                <wp:positionV relativeFrom="paragraph">
                  <wp:posOffset>-398186</wp:posOffset>
                </wp:positionV>
                <wp:extent cx="712470" cy="1404620"/>
                <wp:effectExtent l="0" t="0" r="11430" b="203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404620"/>
                        </a:xfrm>
                        <a:prstGeom prst="rect">
                          <a:avLst/>
                        </a:prstGeom>
                        <a:solidFill>
                          <a:srgbClr val="FFFFFF"/>
                        </a:solidFill>
                        <a:ln w="9525">
                          <a:solidFill>
                            <a:srgbClr val="000000"/>
                          </a:solidFill>
                          <a:miter lim="800000"/>
                          <a:headEnd/>
                          <a:tailEnd/>
                        </a:ln>
                      </wps:spPr>
                      <wps:txbx>
                        <w:txbxContent>
                          <w:p w14:paraId="4793C8E8" w14:textId="43D16B07" w:rsidR="00E7269F" w:rsidRPr="008A6C5C" w:rsidRDefault="00E7269F" w:rsidP="00E7269F">
                            <w:pPr>
                              <w:spacing w:line="320" w:lineRule="exact"/>
                              <w:rPr>
                                <w:rFonts w:ascii="Times New Roman" w:eastAsia="標楷體" w:hAnsi="Times New Roman" w:cs="Times New Roman"/>
                                <w:sz w:val="28"/>
                                <w:szCs w:val="24"/>
                              </w:rPr>
                            </w:pPr>
                            <w:r w:rsidRPr="008A6C5C">
                              <w:rPr>
                                <w:rFonts w:ascii="Times New Roman" w:eastAsia="標楷體" w:hAnsi="Times New Roman" w:cs="Times New Roman"/>
                                <w:sz w:val="28"/>
                                <w:szCs w:val="24"/>
                              </w:rPr>
                              <w:t>附件</w:t>
                            </w:r>
                            <w:r w:rsidR="002273D4">
                              <w:rPr>
                                <w:rFonts w:ascii="Times New Roman" w:eastAsia="標楷體" w:hAnsi="Times New Roman" w:cs="Times New Roman" w:hint="eastAsia"/>
                                <w:sz w:val="28"/>
                                <w:szCs w:val="24"/>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21453" id="_x0000_t202" coordsize="21600,21600" o:spt="202" path="m,l,21600r21600,l21600,xe">
                <v:stroke joinstyle="miter"/>
                <v:path gradientshapeok="t" o:connecttype="rect"/>
              </v:shapetype>
              <v:shape id="文字方塊 2" o:spid="_x0000_s1026" type="#_x0000_t202" style="position:absolute;left:0;text-align:left;margin-left:-.45pt;margin-top:-31.35pt;width:5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">
                <v:textbox style="mso-fit-shape-to-text:t">
                  <w:txbxContent>
                    <w:p w14:paraId="4793C8E8" w14:textId="43D16B07" w:rsidR="00E7269F" w:rsidRPr="008A6C5C" w:rsidRDefault="00E7269F" w:rsidP="00E7269F">
                      <w:pPr>
                        <w:spacing w:line="320" w:lineRule="exact"/>
                        <w:rPr>
                          <w:rFonts w:ascii="Times New Roman" w:eastAsia="標楷體" w:hAnsi="Times New Roman" w:cs="Times New Roman"/>
                          <w:sz w:val="28"/>
                          <w:szCs w:val="24"/>
                        </w:rPr>
                      </w:pPr>
                      <w:r w:rsidRPr="008A6C5C">
                        <w:rPr>
                          <w:rFonts w:ascii="Times New Roman" w:eastAsia="標楷體" w:hAnsi="Times New Roman" w:cs="Times New Roman"/>
                          <w:sz w:val="28"/>
                          <w:szCs w:val="24"/>
                        </w:rPr>
                        <w:t>附件</w:t>
                      </w:r>
                      <w:r w:rsidR="002273D4">
                        <w:rPr>
                          <w:rFonts w:ascii="Times New Roman" w:eastAsia="標楷體" w:hAnsi="Times New Roman" w:cs="Times New Roman" w:hint="eastAsia"/>
                          <w:sz w:val="28"/>
                          <w:szCs w:val="24"/>
                        </w:rPr>
                        <w:t>5</w:t>
                      </w:r>
                    </w:p>
                  </w:txbxContent>
                </v:textbox>
              </v:shape>
            </w:pict>
          </mc:Fallback>
        </mc:AlternateContent>
      </w:r>
      <w:r w:rsidR="002504CC" w:rsidRPr="00E7269F">
        <w:rPr>
          <w:rFonts w:ascii="Times New Roman" w:eastAsia="標楷體" w:hAnsi="Times New Roman" w:cs="Times New Roman" w:hint="eastAsia"/>
          <w:color w:val="000000" w:themeColor="text1"/>
          <w:sz w:val="40"/>
          <w:szCs w:val="36"/>
        </w:rPr>
        <w:t>中華民</w:t>
      </w:r>
      <w:r w:rsidR="002504CC" w:rsidRPr="00832ABC">
        <w:rPr>
          <w:rFonts w:ascii="Times New Roman" w:eastAsia="標楷體" w:hAnsi="Times New Roman" w:cs="Times New Roman" w:hint="eastAsia"/>
          <w:color w:val="000000" w:themeColor="text1"/>
          <w:sz w:val="40"/>
          <w:szCs w:val="36"/>
        </w:rPr>
        <w:t>國證券商業同業公會</w:t>
      </w:r>
      <w:bookmarkStart w:id="0" w:name="_Hlk213753877"/>
      <w:r w:rsidR="002504CC" w:rsidRPr="00832ABC">
        <w:rPr>
          <w:rFonts w:ascii="Times New Roman" w:eastAsia="標楷體" w:hAnsi="Times New Roman" w:cs="Times New Roman" w:hint="eastAsia"/>
          <w:color w:val="000000" w:themeColor="text1"/>
          <w:sz w:val="40"/>
          <w:szCs w:val="36"/>
        </w:rPr>
        <w:t>「</w:t>
      </w:r>
      <w:r w:rsidR="00B05150" w:rsidRPr="00832ABC">
        <w:rPr>
          <w:rFonts w:ascii="Times New Roman" w:eastAsia="標楷體" w:hAnsi="Times New Roman" w:cs="Times New Roman" w:hint="eastAsia"/>
          <w:color w:val="000000" w:themeColor="text1"/>
          <w:sz w:val="40"/>
          <w:szCs w:val="36"/>
        </w:rPr>
        <w:t>證券承銷商受託辦理發行人募集與發行有價證券承銷商評估報告之評估查核程序</w:t>
      </w:r>
      <w:r w:rsidR="002504CC" w:rsidRPr="00832ABC">
        <w:rPr>
          <w:rFonts w:ascii="Times New Roman" w:eastAsia="標楷體" w:hAnsi="Times New Roman" w:cs="Times New Roman" w:hint="eastAsia"/>
          <w:color w:val="000000" w:themeColor="text1"/>
          <w:sz w:val="40"/>
          <w:szCs w:val="36"/>
        </w:rPr>
        <w:t>」</w:t>
      </w:r>
      <w:r w:rsidR="00344855" w:rsidRPr="00832ABC">
        <w:rPr>
          <w:rFonts w:ascii="Times New Roman" w:eastAsia="標楷體" w:hAnsi="Times New Roman" w:cs="Times New Roman" w:hint="eastAsia"/>
          <w:color w:val="000000" w:themeColor="text1"/>
          <w:sz w:val="40"/>
          <w:szCs w:val="36"/>
        </w:rPr>
        <w:t>第參點</w:t>
      </w:r>
      <w:r w:rsidR="001033CB" w:rsidRPr="00832ABC">
        <w:rPr>
          <w:rFonts w:ascii="Times New Roman" w:eastAsia="標楷體" w:hAnsi="Times New Roman" w:cs="Times New Roman" w:hint="eastAsia"/>
          <w:color w:val="000000" w:themeColor="text1"/>
          <w:sz w:val="40"/>
          <w:szCs w:val="36"/>
        </w:rPr>
        <w:t>修正條文對照表</w:t>
      </w:r>
    </w:p>
    <w:tbl>
      <w:tblPr>
        <w:tblStyle w:val="a3"/>
        <w:tblW w:w="9776" w:type="dxa"/>
        <w:tblLook w:val="04A0" w:firstRow="1" w:lastRow="0" w:firstColumn="1" w:lastColumn="0" w:noHBand="0" w:noVBand="1"/>
      </w:tblPr>
      <w:tblGrid>
        <w:gridCol w:w="3258"/>
        <w:gridCol w:w="3259"/>
        <w:gridCol w:w="3259"/>
      </w:tblGrid>
      <w:tr w:rsidR="002273D4" w:rsidRPr="002273D4" w14:paraId="5FDF3BE1" w14:textId="77777777" w:rsidTr="002273D4">
        <w:tc>
          <w:tcPr>
            <w:tcW w:w="3258" w:type="dxa"/>
          </w:tcPr>
          <w:bookmarkEnd w:id="0"/>
          <w:p w14:paraId="418380ED" w14:textId="079372CE" w:rsidR="002273D4" w:rsidRPr="002273D4" w:rsidRDefault="002273D4" w:rsidP="00C0131D">
            <w:pPr>
              <w:spacing w:line="440" w:lineRule="exact"/>
              <w:jc w:val="center"/>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修正條文</w:t>
            </w:r>
          </w:p>
        </w:tc>
        <w:tc>
          <w:tcPr>
            <w:tcW w:w="3259" w:type="dxa"/>
          </w:tcPr>
          <w:p w14:paraId="11C10196" w14:textId="1EBB17A5" w:rsidR="002273D4" w:rsidRPr="002273D4" w:rsidRDefault="002273D4" w:rsidP="00C0131D">
            <w:pPr>
              <w:spacing w:line="440" w:lineRule="exact"/>
              <w:jc w:val="center"/>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現行條文</w:t>
            </w:r>
          </w:p>
        </w:tc>
        <w:tc>
          <w:tcPr>
            <w:tcW w:w="3259" w:type="dxa"/>
          </w:tcPr>
          <w:p w14:paraId="34669E9A" w14:textId="72F6BDAF" w:rsidR="002273D4" w:rsidRPr="002273D4" w:rsidRDefault="002273D4" w:rsidP="00C0131D">
            <w:pPr>
              <w:spacing w:line="440" w:lineRule="exact"/>
              <w:jc w:val="center"/>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說明</w:t>
            </w:r>
          </w:p>
        </w:tc>
      </w:tr>
      <w:tr w:rsidR="002273D4" w:rsidRPr="002273D4" w14:paraId="33913617" w14:textId="77777777" w:rsidTr="002273D4">
        <w:tc>
          <w:tcPr>
            <w:tcW w:w="3258" w:type="dxa"/>
          </w:tcPr>
          <w:p w14:paraId="4CBEAC87" w14:textId="77777777"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參、</w:t>
            </w:r>
            <w:r w:rsidRPr="002273D4">
              <w:rPr>
                <w:rFonts w:ascii="Times New Roman" w:eastAsia="標楷體" w:hAnsi="Times New Roman" w:cs="Times New Roman"/>
                <w:color w:val="000000" w:themeColor="text1"/>
              </w:rPr>
              <w:t>現金增資發行新股（含附認股權特別股）者</w:t>
            </w:r>
            <w:r w:rsidRPr="002273D4">
              <w:rPr>
                <w:rFonts w:ascii="Times New Roman" w:eastAsia="標楷體" w:hAnsi="Times New Roman" w:cs="Times New Roman" w:hint="eastAsia"/>
                <w:color w:val="000000" w:themeColor="text1"/>
              </w:rPr>
              <w:t>：</w:t>
            </w:r>
          </w:p>
          <w:p w14:paraId="49EDA7BC" w14:textId="77777777"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一、</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六、略。</w:t>
            </w:r>
          </w:p>
          <w:p w14:paraId="749FE8B5" w14:textId="77777777" w:rsidR="002273D4" w:rsidRPr="002273D4" w:rsidRDefault="002273D4" w:rsidP="006E7460">
            <w:pPr>
              <w:spacing w:line="440" w:lineRule="exact"/>
              <w:jc w:val="both"/>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七、就下列事項逐項評估，並綜合評估本次募集與發行有價證券計畫是否具有可行性、必要性及合理性：</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u w:val="single"/>
              </w:rPr>
              <w:t>如屬</w:t>
            </w:r>
            <w:r w:rsidRPr="002273D4">
              <w:rPr>
                <w:rFonts w:ascii="Times New Roman" w:eastAsia="標楷體" w:hAnsi="Times New Roman" w:cs="Times New Roman"/>
                <w:color w:val="000000" w:themeColor="text1"/>
                <w:u w:val="single"/>
              </w:rPr>
              <w:t>「發行人募集與發行有價證券處理準則」</w:t>
            </w:r>
            <w:r w:rsidRPr="002273D4">
              <w:rPr>
                <w:rFonts w:ascii="Times New Roman" w:eastAsia="標楷體" w:hAnsi="Times New Roman" w:cs="Times New Roman" w:hint="eastAsia"/>
                <w:color w:val="000000" w:themeColor="text1"/>
                <w:u w:val="single"/>
              </w:rPr>
              <w:t>第八條第三項規定之</w:t>
            </w:r>
            <w:r w:rsidRPr="001F10B4">
              <w:rPr>
                <w:rFonts w:ascii="Times New Roman" w:eastAsia="標楷體" w:hAnsi="Times New Roman" w:cs="Times New Roman" w:hint="eastAsia"/>
                <w:color w:val="000000" w:themeColor="text1"/>
              </w:rPr>
              <w:t>案件</w:t>
            </w:r>
            <w:r w:rsidRPr="002273D4">
              <w:rPr>
                <w:rFonts w:ascii="Times New Roman" w:eastAsia="標楷體" w:hAnsi="Times New Roman" w:cs="Times New Roman" w:hint="eastAsia"/>
                <w:color w:val="000000" w:themeColor="text1"/>
              </w:rPr>
              <w:t>，得不適用關於必要性之規定</w:t>
            </w:r>
            <w:r w:rsidRPr="002273D4">
              <w:rPr>
                <w:rFonts w:ascii="Times New Roman" w:eastAsia="標楷體" w:hAnsi="Times New Roman" w:cs="Times New Roman" w:hint="eastAsia"/>
                <w:color w:val="000000" w:themeColor="text1"/>
              </w:rPr>
              <w:t>)</w:t>
            </w:r>
          </w:p>
          <w:p w14:paraId="3D48B854" w14:textId="35AF63C3" w:rsidR="002273D4" w:rsidRPr="002273D4" w:rsidRDefault="002273D4" w:rsidP="006E7460">
            <w:pPr>
              <w:spacing w:line="440" w:lineRule="exact"/>
              <w:rPr>
                <w:rFonts w:ascii="Times New Roman" w:eastAsia="標楷體" w:hAnsi="Times New Roman" w:cs="Times New Roman"/>
                <w:color w:val="000000" w:themeColor="text1"/>
              </w:rPr>
            </w:pPr>
          </w:p>
          <w:p w14:paraId="33731CC0" w14:textId="77777777" w:rsidR="002273D4" w:rsidRPr="002273D4" w:rsidRDefault="002273D4" w:rsidP="006E7460">
            <w:pPr>
              <w:spacing w:line="440" w:lineRule="exact"/>
              <w:rPr>
                <w:rFonts w:ascii="Times New Roman" w:eastAsia="標楷體" w:hAnsi="Times New Roman" w:cs="Times New Roman"/>
                <w:color w:val="000000" w:themeColor="text1"/>
              </w:rPr>
            </w:pPr>
          </w:p>
          <w:p w14:paraId="2D9285E8" w14:textId="6222C4B2"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以下略。</w:t>
            </w:r>
          </w:p>
        </w:tc>
        <w:tc>
          <w:tcPr>
            <w:tcW w:w="3259" w:type="dxa"/>
          </w:tcPr>
          <w:p w14:paraId="7DDA3F2A" w14:textId="0BCB2627"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參、</w:t>
            </w:r>
            <w:r w:rsidRPr="002273D4">
              <w:rPr>
                <w:rFonts w:ascii="Times New Roman" w:eastAsia="標楷體" w:hAnsi="Times New Roman" w:cs="Times New Roman"/>
                <w:color w:val="000000" w:themeColor="text1"/>
              </w:rPr>
              <w:t>現金增資發行新股（含附認股權特別股）者</w:t>
            </w:r>
            <w:r w:rsidRPr="002273D4">
              <w:rPr>
                <w:rFonts w:ascii="Times New Roman" w:eastAsia="標楷體" w:hAnsi="Times New Roman" w:cs="Times New Roman" w:hint="eastAsia"/>
                <w:color w:val="000000" w:themeColor="text1"/>
              </w:rPr>
              <w:t>：</w:t>
            </w:r>
          </w:p>
          <w:p w14:paraId="55AAD830" w14:textId="1550BC88"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一、</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六、略。</w:t>
            </w:r>
          </w:p>
          <w:p w14:paraId="32FF3FE0" w14:textId="01461229"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七、就下列事項逐項評估，並綜合評估本次募集與發行有價證券計畫是否具有可行性、必要性及合理性：</w:t>
            </w:r>
            <w:r w:rsidRPr="002273D4">
              <w:rPr>
                <w:rFonts w:ascii="Times New Roman" w:eastAsia="標楷體" w:hAnsi="Times New Roman" w:cs="Times New Roman" w:hint="eastAsia"/>
                <w:color w:val="000000" w:themeColor="text1"/>
              </w:rPr>
              <w:t>(</w:t>
            </w:r>
            <w:proofErr w:type="gramStart"/>
            <w:r w:rsidRPr="00D9087F">
              <w:rPr>
                <w:rFonts w:ascii="Times New Roman" w:eastAsia="標楷體" w:hAnsi="Times New Roman" w:cs="Times New Roman" w:hint="eastAsia"/>
                <w:color w:val="000000" w:themeColor="text1"/>
                <w:u w:val="single"/>
              </w:rPr>
              <w:t>但興櫃股票</w:t>
            </w:r>
            <w:proofErr w:type="gramEnd"/>
            <w:r w:rsidRPr="00D9087F">
              <w:rPr>
                <w:rFonts w:ascii="Times New Roman" w:eastAsia="標楷體" w:hAnsi="Times New Roman" w:cs="Times New Roman" w:hint="eastAsia"/>
                <w:color w:val="000000" w:themeColor="text1"/>
                <w:u w:val="single"/>
              </w:rPr>
              <w:t>公司辦理現金增資發行新股作為初次上市、上櫃前公開銷售案件，或上櫃</w:t>
            </w:r>
            <w:r w:rsidRPr="00D9087F">
              <w:rPr>
                <w:rFonts w:ascii="Times New Roman" w:eastAsia="標楷體" w:hAnsi="Times New Roman" w:cs="Times New Roman" w:hint="eastAsia"/>
                <w:color w:val="000000" w:themeColor="text1"/>
                <w:u w:val="single"/>
              </w:rPr>
              <w:t>(</w:t>
            </w:r>
            <w:r w:rsidRPr="00D9087F">
              <w:rPr>
                <w:rFonts w:ascii="Times New Roman" w:eastAsia="標楷體" w:hAnsi="Times New Roman" w:cs="Times New Roman" w:hint="eastAsia"/>
                <w:color w:val="000000" w:themeColor="text1"/>
                <w:u w:val="single"/>
              </w:rPr>
              <w:t>市</w:t>
            </w:r>
            <w:r w:rsidRPr="00D9087F">
              <w:rPr>
                <w:rFonts w:ascii="Times New Roman" w:eastAsia="標楷體" w:hAnsi="Times New Roman" w:cs="Times New Roman" w:hint="eastAsia"/>
                <w:color w:val="000000" w:themeColor="text1"/>
                <w:u w:val="single"/>
              </w:rPr>
              <w:t>)</w:t>
            </w:r>
            <w:r w:rsidRPr="00D9087F">
              <w:rPr>
                <w:rFonts w:ascii="Times New Roman" w:eastAsia="標楷體" w:hAnsi="Times New Roman" w:cs="Times New Roman" w:hint="eastAsia"/>
                <w:color w:val="000000" w:themeColor="text1"/>
                <w:u w:val="single"/>
              </w:rPr>
              <w:t>公司申請轉上市</w:t>
            </w:r>
            <w:r w:rsidRPr="00D9087F">
              <w:rPr>
                <w:rFonts w:ascii="Times New Roman" w:eastAsia="標楷體" w:hAnsi="Times New Roman" w:cs="Times New Roman" w:hint="eastAsia"/>
                <w:color w:val="000000" w:themeColor="text1"/>
                <w:u w:val="single"/>
              </w:rPr>
              <w:t>(</w:t>
            </w:r>
            <w:r w:rsidRPr="00D9087F">
              <w:rPr>
                <w:rFonts w:ascii="Times New Roman" w:eastAsia="標楷體" w:hAnsi="Times New Roman" w:cs="Times New Roman" w:hint="eastAsia"/>
                <w:color w:val="000000" w:themeColor="text1"/>
                <w:u w:val="single"/>
              </w:rPr>
              <w:t>櫃</w:t>
            </w:r>
            <w:r w:rsidRPr="00D9087F">
              <w:rPr>
                <w:rFonts w:ascii="Times New Roman" w:eastAsia="標楷體" w:hAnsi="Times New Roman" w:cs="Times New Roman" w:hint="eastAsia"/>
                <w:color w:val="000000" w:themeColor="text1"/>
                <w:u w:val="single"/>
              </w:rPr>
              <w:t>)</w:t>
            </w:r>
            <w:r w:rsidRPr="00D9087F">
              <w:rPr>
                <w:rFonts w:ascii="Times New Roman" w:eastAsia="標楷體" w:hAnsi="Times New Roman" w:cs="Times New Roman" w:hint="eastAsia"/>
                <w:color w:val="000000" w:themeColor="text1"/>
                <w:u w:val="single"/>
              </w:rPr>
              <w:t>者為達股權分散所為之現金增資發行新股</w:t>
            </w:r>
            <w:r w:rsidRPr="002273D4">
              <w:rPr>
                <w:rFonts w:ascii="Times New Roman" w:eastAsia="標楷體" w:hAnsi="Times New Roman" w:cs="Times New Roman" w:hint="eastAsia"/>
                <w:color w:val="000000" w:themeColor="text1"/>
              </w:rPr>
              <w:t>案件，得不適用關於必要性之規定</w:t>
            </w:r>
            <w:r w:rsidRPr="002273D4">
              <w:rPr>
                <w:rFonts w:ascii="Times New Roman" w:eastAsia="標楷體" w:hAnsi="Times New Roman" w:cs="Times New Roman" w:hint="eastAsia"/>
                <w:color w:val="000000" w:themeColor="text1"/>
              </w:rPr>
              <w:t>)</w:t>
            </w:r>
          </w:p>
          <w:p w14:paraId="36BA4B8C" w14:textId="77777777" w:rsidR="002273D4" w:rsidRPr="002273D4" w:rsidRDefault="002273D4" w:rsidP="006E7460">
            <w:pPr>
              <w:spacing w:line="440" w:lineRule="exact"/>
              <w:rPr>
                <w:rFonts w:ascii="Times New Roman" w:eastAsia="標楷體" w:hAnsi="Times New Roman" w:cs="Times New Roman"/>
                <w:color w:val="000000" w:themeColor="text1"/>
              </w:rPr>
            </w:pPr>
          </w:p>
          <w:p w14:paraId="0341C793" w14:textId="23F109E3" w:rsidR="002273D4" w:rsidRPr="002273D4" w:rsidRDefault="002273D4" w:rsidP="006E7460">
            <w:pPr>
              <w:spacing w:line="440" w:lineRule="exact"/>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以下略。</w:t>
            </w:r>
          </w:p>
        </w:tc>
        <w:tc>
          <w:tcPr>
            <w:tcW w:w="3259" w:type="dxa"/>
          </w:tcPr>
          <w:p w14:paraId="0D91F5D9" w14:textId="2EA23026" w:rsidR="002273D4" w:rsidRPr="002273D4" w:rsidRDefault="002273D4" w:rsidP="006E7460">
            <w:pPr>
              <w:spacing w:line="440" w:lineRule="exact"/>
              <w:jc w:val="both"/>
              <w:rPr>
                <w:rFonts w:ascii="Times New Roman" w:eastAsia="標楷體" w:hAnsi="Times New Roman" w:cs="Times New Roman"/>
                <w:color w:val="000000" w:themeColor="text1"/>
              </w:rPr>
            </w:pPr>
            <w:r w:rsidRPr="002273D4">
              <w:rPr>
                <w:rFonts w:ascii="Times New Roman" w:eastAsia="標楷體" w:hAnsi="Times New Roman" w:cs="Times New Roman" w:hint="eastAsia"/>
                <w:color w:val="000000" w:themeColor="text1"/>
              </w:rPr>
              <w:t>考量主管機關</w:t>
            </w:r>
            <w:r w:rsidRPr="002273D4">
              <w:rPr>
                <w:rFonts w:ascii="Times New Roman" w:eastAsia="標楷體" w:hAnsi="Times New Roman" w:cs="Times New Roman"/>
                <w:color w:val="000000" w:themeColor="text1"/>
              </w:rPr>
              <w:t>「發行人募集與發行有價證券處理準則」</w:t>
            </w:r>
            <w:r w:rsidRPr="002273D4">
              <w:rPr>
                <w:rFonts w:ascii="Times New Roman" w:eastAsia="標楷體" w:hAnsi="Times New Roman" w:cs="Times New Roman" w:hint="eastAsia"/>
                <w:color w:val="000000" w:themeColor="text1"/>
              </w:rPr>
              <w:t>第八條第三項已明定初次上市</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櫃</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、創新板初次上市、上櫃</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市</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轉上市</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櫃</w:t>
            </w:r>
            <w:r w:rsidRPr="002273D4">
              <w:rPr>
                <w:rFonts w:ascii="Times New Roman" w:eastAsia="標楷體" w:hAnsi="Times New Roman" w:cs="Times New Roman" w:hint="eastAsia"/>
                <w:color w:val="000000" w:themeColor="text1"/>
              </w:rPr>
              <w:t>)</w:t>
            </w:r>
            <w:r w:rsidRPr="002273D4">
              <w:rPr>
                <w:rFonts w:ascii="Times New Roman" w:eastAsia="標楷體" w:hAnsi="Times New Roman" w:cs="Times New Roman" w:hint="eastAsia"/>
                <w:color w:val="000000" w:themeColor="text1"/>
              </w:rPr>
              <w:t>及</w:t>
            </w:r>
            <w:proofErr w:type="gramStart"/>
            <w:r w:rsidRPr="002273D4">
              <w:rPr>
                <w:rFonts w:ascii="Times New Roman" w:eastAsia="標楷體" w:hAnsi="Times New Roman" w:cs="Times New Roman" w:hint="eastAsia"/>
                <w:color w:val="000000" w:themeColor="text1"/>
              </w:rPr>
              <w:t>創新板改列</w:t>
            </w:r>
            <w:proofErr w:type="gramEnd"/>
            <w:r w:rsidRPr="002273D4">
              <w:rPr>
                <w:rFonts w:ascii="Times New Roman" w:eastAsia="標楷體" w:hAnsi="Times New Roman" w:cs="Times New Roman" w:hint="eastAsia"/>
                <w:color w:val="000000" w:themeColor="text1"/>
              </w:rPr>
              <w:t>上市等案件得不適用有關發行人募集與發行有價證券計畫必要性規定，為規範之一致性，</w:t>
            </w:r>
            <w:proofErr w:type="gramStart"/>
            <w:r w:rsidRPr="002273D4">
              <w:rPr>
                <w:rFonts w:ascii="Times New Roman" w:eastAsia="標楷體" w:hAnsi="Times New Roman" w:cs="Times New Roman" w:hint="eastAsia"/>
                <w:color w:val="000000" w:themeColor="text1"/>
              </w:rPr>
              <w:t>爰</w:t>
            </w:r>
            <w:proofErr w:type="gramEnd"/>
            <w:r w:rsidRPr="002273D4">
              <w:rPr>
                <w:rFonts w:ascii="Times New Roman" w:eastAsia="標楷體" w:hAnsi="Times New Roman" w:cs="Times New Roman" w:hint="eastAsia"/>
                <w:color w:val="000000" w:themeColor="text1"/>
              </w:rPr>
              <w:t>修正參、七、，有關得不適用募集與發行有價證券計畫必要性規定之案件類型，應依</w:t>
            </w:r>
            <w:r w:rsidRPr="002273D4">
              <w:rPr>
                <w:rFonts w:ascii="Times New Roman" w:eastAsia="標楷體" w:hAnsi="Times New Roman" w:cs="Times New Roman"/>
                <w:color w:val="000000" w:themeColor="text1"/>
              </w:rPr>
              <w:t>「發行人募集與發行有價證券處理準則」</w:t>
            </w:r>
            <w:r w:rsidRPr="002273D4">
              <w:rPr>
                <w:rFonts w:ascii="Times New Roman" w:eastAsia="標楷體" w:hAnsi="Times New Roman" w:cs="Times New Roman" w:hint="eastAsia"/>
                <w:color w:val="000000" w:themeColor="text1"/>
              </w:rPr>
              <w:t>第八條第三項規定辦理。</w:t>
            </w:r>
          </w:p>
        </w:tc>
      </w:tr>
    </w:tbl>
    <w:p w14:paraId="0CEDE1C8" w14:textId="77777777" w:rsidR="00D842C2" w:rsidRPr="00E24F66" w:rsidRDefault="00D842C2">
      <w:pPr>
        <w:rPr>
          <w:color w:val="000000" w:themeColor="text1"/>
        </w:rPr>
      </w:pPr>
    </w:p>
    <w:sectPr w:rsidR="00D842C2" w:rsidRPr="00E24F66" w:rsidSect="00197626">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D1B3" w14:textId="77777777" w:rsidR="00A10D1C" w:rsidRDefault="00A10D1C" w:rsidP="001033CB">
      <w:r>
        <w:separator/>
      </w:r>
    </w:p>
  </w:endnote>
  <w:endnote w:type="continuationSeparator" w:id="0">
    <w:p w14:paraId="39810ED0" w14:textId="77777777" w:rsidR="00A10D1C" w:rsidRDefault="00A10D1C" w:rsidP="0010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6028"/>
      <w:docPartObj>
        <w:docPartGallery w:val="Page Numbers (Bottom of Page)"/>
        <w:docPartUnique/>
      </w:docPartObj>
    </w:sdtPr>
    <w:sdtContent>
      <w:p w14:paraId="4B754ABC" w14:textId="056B5D47" w:rsidR="00197626" w:rsidRDefault="00197626">
        <w:pPr>
          <w:pStyle w:val="a8"/>
          <w:jc w:val="center"/>
        </w:pPr>
        <w:r>
          <w:fldChar w:fldCharType="begin"/>
        </w:r>
        <w:r>
          <w:instrText>PAGE   \* MERGEFORMAT</w:instrText>
        </w:r>
        <w:r>
          <w:fldChar w:fldCharType="separate"/>
        </w:r>
        <w:r>
          <w:rPr>
            <w:lang w:val="zh-TW"/>
          </w:rPr>
          <w:t>2</w:t>
        </w:r>
        <w:r>
          <w:fldChar w:fldCharType="end"/>
        </w:r>
      </w:p>
    </w:sdtContent>
  </w:sdt>
  <w:p w14:paraId="01B46CDA" w14:textId="77777777" w:rsidR="001033CB" w:rsidRDefault="001033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6AB6" w14:textId="77777777" w:rsidR="00A10D1C" w:rsidRDefault="00A10D1C" w:rsidP="001033CB">
      <w:r>
        <w:separator/>
      </w:r>
    </w:p>
  </w:footnote>
  <w:footnote w:type="continuationSeparator" w:id="0">
    <w:p w14:paraId="74C7D5E9" w14:textId="77777777" w:rsidR="00A10D1C" w:rsidRDefault="00A10D1C" w:rsidP="00103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3B6"/>
    <w:multiLevelType w:val="multilevel"/>
    <w:tmpl w:val="9E82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92CBC"/>
    <w:multiLevelType w:val="hybridMultilevel"/>
    <w:tmpl w:val="168E9B66"/>
    <w:lvl w:ilvl="0" w:tplc="9BE63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244D20"/>
    <w:multiLevelType w:val="multilevel"/>
    <w:tmpl w:val="26FC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6E3723"/>
    <w:multiLevelType w:val="multilevel"/>
    <w:tmpl w:val="1670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4315E"/>
    <w:multiLevelType w:val="multilevel"/>
    <w:tmpl w:val="6036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005717">
    <w:abstractNumId w:val="2"/>
  </w:num>
  <w:num w:numId="2" w16cid:durableId="1509641416">
    <w:abstractNumId w:val="0"/>
  </w:num>
  <w:num w:numId="3" w16cid:durableId="1195851570">
    <w:abstractNumId w:val="3"/>
  </w:num>
  <w:num w:numId="4" w16cid:durableId="470558718">
    <w:abstractNumId w:val="4"/>
  </w:num>
  <w:num w:numId="5" w16cid:durableId="199891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C2"/>
    <w:rsid w:val="000A126F"/>
    <w:rsid w:val="000C3217"/>
    <w:rsid w:val="000C67CA"/>
    <w:rsid w:val="001033CB"/>
    <w:rsid w:val="0013400B"/>
    <w:rsid w:val="00162A0A"/>
    <w:rsid w:val="00197626"/>
    <w:rsid w:val="001C489D"/>
    <w:rsid w:val="001D76A0"/>
    <w:rsid w:val="001F10B4"/>
    <w:rsid w:val="00205A2B"/>
    <w:rsid w:val="00223C3D"/>
    <w:rsid w:val="002273D4"/>
    <w:rsid w:val="002504CC"/>
    <w:rsid w:val="00273734"/>
    <w:rsid w:val="00277F55"/>
    <w:rsid w:val="00280755"/>
    <w:rsid w:val="002B3372"/>
    <w:rsid w:val="002E1C1A"/>
    <w:rsid w:val="00344855"/>
    <w:rsid w:val="003B2BD7"/>
    <w:rsid w:val="003B7B16"/>
    <w:rsid w:val="003D2D1D"/>
    <w:rsid w:val="00403B51"/>
    <w:rsid w:val="00416A77"/>
    <w:rsid w:val="00444AF0"/>
    <w:rsid w:val="0049708D"/>
    <w:rsid w:val="004E6C16"/>
    <w:rsid w:val="005365A4"/>
    <w:rsid w:val="00545DE4"/>
    <w:rsid w:val="0061488F"/>
    <w:rsid w:val="0067115C"/>
    <w:rsid w:val="006E7460"/>
    <w:rsid w:val="0070440F"/>
    <w:rsid w:val="00731342"/>
    <w:rsid w:val="00777B71"/>
    <w:rsid w:val="007B18F7"/>
    <w:rsid w:val="00832ABC"/>
    <w:rsid w:val="00852861"/>
    <w:rsid w:val="00896060"/>
    <w:rsid w:val="008A28F7"/>
    <w:rsid w:val="008A6C5C"/>
    <w:rsid w:val="0093798C"/>
    <w:rsid w:val="0097772F"/>
    <w:rsid w:val="009D5E2D"/>
    <w:rsid w:val="009F536C"/>
    <w:rsid w:val="00A10D1C"/>
    <w:rsid w:val="00A5141D"/>
    <w:rsid w:val="00AB51DA"/>
    <w:rsid w:val="00AC7EE2"/>
    <w:rsid w:val="00B05150"/>
    <w:rsid w:val="00B50063"/>
    <w:rsid w:val="00C0131D"/>
    <w:rsid w:val="00C71C3D"/>
    <w:rsid w:val="00CA08A2"/>
    <w:rsid w:val="00CE2DC4"/>
    <w:rsid w:val="00CF2F81"/>
    <w:rsid w:val="00D33C3D"/>
    <w:rsid w:val="00D404E8"/>
    <w:rsid w:val="00D409C2"/>
    <w:rsid w:val="00D46FAF"/>
    <w:rsid w:val="00D842C2"/>
    <w:rsid w:val="00D9087F"/>
    <w:rsid w:val="00D94AA6"/>
    <w:rsid w:val="00DB1B9A"/>
    <w:rsid w:val="00E11B11"/>
    <w:rsid w:val="00E24F66"/>
    <w:rsid w:val="00E7269F"/>
    <w:rsid w:val="00E73E4D"/>
    <w:rsid w:val="00ED01AE"/>
    <w:rsid w:val="00F11458"/>
    <w:rsid w:val="00F2035F"/>
    <w:rsid w:val="00FE4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35BB"/>
  <w15:chartTrackingRefBased/>
  <w15:docId w15:val="{F01A039D-649D-4965-BAD9-688ED062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11B11"/>
    <w:rPr>
      <w:color w:val="0000FF"/>
      <w:u w:val="single"/>
    </w:rPr>
  </w:style>
  <w:style w:type="paragraph" w:styleId="a5">
    <w:name w:val="List Paragraph"/>
    <w:basedOn w:val="a"/>
    <w:uiPriority w:val="34"/>
    <w:qFormat/>
    <w:rsid w:val="00B50063"/>
    <w:pPr>
      <w:ind w:leftChars="200" w:left="480"/>
    </w:pPr>
  </w:style>
  <w:style w:type="paragraph" w:styleId="a6">
    <w:name w:val="header"/>
    <w:basedOn w:val="a"/>
    <w:link w:val="a7"/>
    <w:uiPriority w:val="99"/>
    <w:unhideWhenUsed/>
    <w:rsid w:val="001033CB"/>
    <w:pPr>
      <w:tabs>
        <w:tab w:val="center" w:pos="4153"/>
        <w:tab w:val="right" w:pos="8306"/>
      </w:tabs>
      <w:snapToGrid w:val="0"/>
    </w:pPr>
    <w:rPr>
      <w:sz w:val="20"/>
      <w:szCs w:val="20"/>
    </w:rPr>
  </w:style>
  <w:style w:type="character" w:customStyle="1" w:styleId="a7">
    <w:name w:val="頁首 字元"/>
    <w:basedOn w:val="a0"/>
    <w:link w:val="a6"/>
    <w:uiPriority w:val="99"/>
    <w:rsid w:val="001033CB"/>
    <w:rPr>
      <w:sz w:val="20"/>
      <w:szCs w:val="20"/>
    </w:rPr>
  </w:style>
  <w:style w:type="paragraph" w:styleId="a8">
    <w:name w:val="footer"/>
    <w:basedOn w:val="a"/>
    <w:link w:val="a9"/>
    <w:uiPriority w:val="99"/>
    <w:unhideWhenUsed/>
    <w:rsid w:val="001033CB"/>
    <w:pPr>
      <w:tabs>
        <w:tab w:val="center" w:pos="4153"/>
        <w:tab w:val="right" w:pos="8306"/>
      </w:tabs>
      <w:snapToGrid w:val="0"/>
    </w:pPr>
    <w:rPr>
      <w:sz w:val="20"/>
      <w:szCs w:val="20"/>
    </w:rPr>
  </w:style>
  <w:style w:type="character" w:customStyle="1" w:styleId="a9">
    <w:name w:val="頁尾 字元"/>
    <w:basedOn w:val="a0"/>
    <w:link w:val="a8"/>
    <w:uiPriority w:val="99"/>
    <w:rsid w:val="001033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6018">
      <w:bodyDiv w:val="1"/>
      <w:marLeft w:val="0"/>
      <w:marRight w:val="0"/>
      <w:marTop w:val="0"/>
      <w:marBottom w:val="0"/>
      <w:divBdr>
        <w:top w:val="none" w:sz="0" w:space="0" w:color="auto"/>
        <w:left w:val="none" w:sz="0" w:space="0" w:color="auto"/>
        <w:bottom w:val="none" w:sz="0" w:space="0" w:color="auto"/>
        <w:right w:val="none" w:sz="0" w:space="0" w:color="auto"/>
      </w:divBdr>
      <w:divsChild>
        <w:div w:id="1774283140">
          <w:marLeft w:val="0"/>
          <w:marRight w:val="0"/>
          <w:marTop w:val="0"/>
          <w:marBottom w:val="0"/>
          <w:divBdr>
            <w:top w:val="none" w:sz="0" w:space="0" w:color="auto"/>
            <w:left w:val="none" w:sz="0" w:space="0" w:color="auto"/>
            <w:bottom w:val="none" w:sz="0" w:space="0" w:color="auto"/>
            <w:right w:val="none" w:sz="0" w:space="0" w:color="auto"/>
          </w:divBdr>
        </w:div>
        <w:div w:id="2138797582">
          <w:marLeft w:val="0"/>
          <w:marRight w:val="0"/>
          <w:marTop w:val="0"/>
          <w:marBottom w:val="0"/>
          <w:divBdr>
            <w:top w:val="none" w:sz="0" w:space="0" w:color="auto"/>
            <w:left w:val="none" w:sz="0" w:space="0" w:color="auto"/>
            <w:bottom w:val="none" w:sz="0" w:space="0" w:color="auto"/>
            <w:right w:val="none" w:sz="0" w:space="0" w:color="auto"/>
          </w:divBdr>
        </w:div>
        <w:div w:id="674649358">
          <w:marLeft w:val="0"/>
          <w:marRight w:val="0"/>
          <w:marTop w:val="0"/>
          <w:marBottom w:val="0"/>
          <w:divBdr>
            <w:top w:val="none" w:sz="0" w:space="0" w:color="auto"/>
            <w:left w:val="none" w:sz="0" w:space="0" w:color="auto"/>
            <w:bottom w:val="none" w:sz="0" w:space="0" w:color="auto"/>
            <w:right w:val="none" w:sz="0" w:space="0" w:color="auto"/>
          </w:divBdr>
        </w:div>
        <w:div w:id="564685201">
          <w:marLeft w:val="0"/>
          <w:marRight w:val="0"/>
          <w:marTop w:val="0"/>
          <w:marBottom w:val="0"/>
          <w:divBdr>
            <w:top w:val="none" w:sz="0" w:space="0" w:color="auto"/>
            <w:left w:val="none" w:sz="0" w:space="0" w:color="auto"/>
            <w:bottom w:val="none" w:sz="0" w:space="0" w:color="auto"/>
            <w:right w:val="none" w:sz="0" w:space="0" w:color="auto"/>
          </w:divBdr>
        </w:div>
      </w:divsChild>
    </w:div>
    <w:div w:id="1163860525">
      <w:bodyDiv w:val="1"/>
      <w:marLeft w:val="0"/>
      <w:marRight w:val="0"/>
      <w:marTop w:val="0"/>
      <w:marBottom w:val="0"/>
      <w:divBdr>
        <w:top w:val="none" w:sz="0" w:space="0" w:color="auto"/>
        <w:left w:val="none" w:sz="0" w:space="0" w:color="auto"/>
        <w:bottom w:val="none" w:sz="0" w:space="0" w:color="auto"/>
        <w:right w:val="none" w:sz="0" w:space="0" w:color="auto"/>
      </w:divBdr>
      <w:divsChild>
        <w:div w:id="1026249270">
          <w:marLeft w:val="0"/>
          <w:marRight w:val="0"/>
          <w:marTop w:val="0"/>
          <w:marBottom w:val="0"/>
          <w:divBdr>
            <w:top w:val="none" w:sz="0" w:space="0" w:color="auto"/>
            <w:left w:val="none" w:sz="0" w:space="0" w:color="auto"/>
            <w:bottom w:val="none" w:sz="0" w:space="0" w:color="auto"/>
            <w:right w:val="none" w:sz="0" w:space="0" w:color="auto"/>
          </w:divBdr>
        </w:div>
        <w:div w:id="92846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鍾韻琳</dc:creator>
  <cp:keywords/>
  <dc:description/>
  <cp:lastModifiedBy>鍾韻琳</cp:lastModifiedBy>
  <cp:revision>8</cp:revision>
  <cp:lastPrinted>2026-01-07T03:36:00Z</cp:lastPrinted>
  <dcterms:created xsi:type="dcterms:W3CDTF">2025-12-17T02:38:00Z</dcterms:created>
  <dcterms:modified xsi:type="dcterms:W3CDTF">2026-01-08T06:38:00Z</dcterms:modified>
</cp:coreProperties>
</file>